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6F81" w14:textId="77777777" w:rsidR="0094418B" w:rsidRDefault="0094418B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687FB4D" w14:textId="77777777" w:rsidR="0094418B" w:rsidRDefault="0094418B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BE74821" w14:textId="1D1C0211" w:rsidR="00271EA4" w:rsidRPr="00BC7F32" w:rsidRDefault="00271EA4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7F32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Boletim de Rankings Universitários</w:t>
      </w:r>
    </w:p>
    <w:p w14:paraId="60803028" w14:textId="7EFF60AB" w:rsidR="00A352C4" w:rsidRDefault="00271EA4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7F32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PRDU – Equipe de Rankings Universitários</w:t>
      </w:r>
    </w:p>
    <w:p w14:paraId="4EB46897" w14:textId="77777777" w:rsidR="0033319F" w:rsidRDefault="0033319F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B5A252C" w14:textId="77777777" w:rsidR="00BE11A6" w:rsidRDefault="00BE11A6" w:rsidP="00BC7F32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2EF391F" w14:textId="1D30E37B" w:rsidR="0033319F" w:rsidRPr="00FB315F" w:rsidRDefault="0033319F" w:rsidP="0033319F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val="en-GB" w:eastAsia="pt-BR"/>
          <w14:ligatures w14:val="none"/>
        </w:rPr>
      </w:pPr>
      <w:r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val="en-GB" w:eastAsia="pt-BR"/>
          <w14:ligatures w14:val="none"/>
        </w:rPr>
        <w:t xml:space="preserve">BOLETIM </w:t>
      </w:r>
      <w:r w:rsidR="00EB3B64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val="en-GB" w:eastAsia="pt-BR"/>
          <w14:ligatures w14:val="none"/>
        </w:rPr>
        <w:t>05/2025</w:t>
      </w:r>
    </w:p>
    <w:p w14:paraId="090EC23D" w14:textId="76D46FA1" w:rsidR="0033319F" w:rsidRPr="00EC1753" w:rsidRDefault="00271EA4" w:rsidP="0033319F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val="en-GB" w:eastAsia="pt-BR"/>
          <w14:ligatures w14:val="none"/>
        </w:rPr>
      </w:pPr>
      <w:proofErr w:type="spellStart"/>
      <w:r w:rsidRPr="00EC1753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>Edição</w:t>
      </w:r>
      <w:proofErr w:type="spellEnd"/>
      <w:r w:rsidRPr="00EC1753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 xml:space="preserve">: </w:t>
      </w:r>
      <w:r w:rsidR="00326BF5" w:rsidRP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QS </w:t>
      </w:r>
      <w:r w:rsidR="005F474D" w:rsidRP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WUR </w:t>
      </w:r>
      <w:r w:rsidR="00326BF5" w:rsidRP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202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6</w:t>
      </w:r>
      <w:r w:rsidR="00EC1753" w:rsidRP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 </w:t>
      </w:r>
      <w:r w:rsid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-</w:t>
      </w:r>
      <w:r w:rsidR="00EC1753" w:rsidRP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 World U</w:t>
      </w:r>
      <w:r w:rsidR="00EC1753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niversity Ranking</w:t>
      </w:r>
    </w:p>
    <w:p w14:paraId="35603E01" w14:textId="6E112D4B" w:rsidR="00BC7F32" w:rsidRPr="00326BF5" w:rsidRDefault="00BC7F32" w:rsidP="0033319F">
      <w:pPr>
        <w:shd w:val="clear" w:color="auto" w:fill="FFFFFF"/>
        <w:spacing w:after="0" w:line="234" w:lineRule="atLeast"/>
        <w:jc w:val="center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26BF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Campinas, 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18</w:t>
      </w:r>
      <w:r w:rsidR="0033319F" w:rsidRPr="00326BF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26BF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de </w:t>
      </w:r>
      <w:r w:rsidR="00EC175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junho </w:t>
      </w:r>
      <w:r w:rsidRPr="00326BF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de 202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2DF135A8" w14:textId="77777777" w:rsidR="00892533" w:rsidRDefault="00892533"/>
    <w:p w14:paraId="7D53BEF2" w14:textId="77777777" w:rsidR="003F67FB" w:rsidRPr="00326BF5" w:rsidRDefault="003F67FB"/>
    <w:p w14:paraId="376BB801" w14:textId="34E3F73D" w:rsidR="0033319F" w:rsidRPr="00FB315F" w:rsidRDefault="00326BF5" w:rsidP="00271EA4">
      <w:pPr>
        <w:shd w:val="clear" w:color="auto" w:fill="FFFFFF"/>
        <w:spacing w:after="0" w:line="234" w:lineRule="atLeast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QS </w:t>
      </w:r>
      <w:r w:rsidR="009930EB"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World </w:t>
      </w:r>
      <w:proofErr w:type="spellStart"/>
      <w:r w:rsidR="009930EB"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University</w:t>
      </w:r>
      <w:proofErr w:type="spellEnd"/>
      <w:r w:rsidR="009930EB"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Ranking (WUR) 202</w:t>
      </w:r>
      <w:r w:rsidR="00EB3B64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</w:p>
    <w:p w14:paraId="15F2EE81" w14:textId="77777777" w:rsidR="00271EA4" w:rsidRPr="00FB315F" w:rsidRDefault="00271EA4" w:rsidP="00271EA4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713BECB" w14:textId="48117215" w:rsidR="00EB3B64" w:rsidRDefault="000D0135" w:rsidP="00EB3B64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="00326BF5" w:rsidRP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QS</w:t>
      </w:r>
      <w:r w:rsidR="009930EB" w:rsidRP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World </w:t>
      </w:r>
      <w:proofErr w:type="spellStart"/>
      <w:r w:rsidR="009930EB" w:rsidRP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University</w:t>
      </w:r>
      <w:proofErr w:type="spellEnd"/>
      <w:r w:rsidR="009930EB" w:rsidRP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Ranking</w:t>
      </w:r>
      <w:r w:rsidR="009930EB" w:rsidRP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é, juntamente com o THE Ranking, </w:t>
      </w:r>
      <w:r w:rsidR="00BB36BA" w:rsidRP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um dos do</w:t>
      </w:r>
      <w:r w:rsid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is rankings universitários internacionais mais importantes, com elevada repercussão nos meios acadêmicos e </w:t>
      </w:r>
      <w:proofErr w:type="spellStart"/>
      <w:r w:rsid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não-acadêmicos</w:t>
      </w:r>
      <w:proofErr w:type="spellEnd"/>
      <w:r w:rsidR="00BB36B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976960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A sua edição de 202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976960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D770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avaliou 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8.467 universidades de 106 países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, o que revela o crescimento expressivo do número de universidades que participam desta classificação, uma vez que na 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edição de 2025 foram avaliadas 4.663 instituições. Desse total de quase 8,500 universidades,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foram classificadas 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1,501 instituições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em todo o mundo e,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Brasil, foram classificadas 24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universidades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. Os indicadores acadêmicos envolveram a análise de 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19,8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mil publicações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científicas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e cerca de 200 mil citações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. Para compor os rankings de reputação, foram compiladas 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151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mil indicações de pesquisadores acadêmicos e 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EB3B64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0 mil indicações empresariais.</w:t>
      </w:r>
    </w:p>
    <w:p w14:paraId="2FEB1374" w14:textId="77777777" w:rsidR="00F63035" w:rsidRDefault="00F630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82F1168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B03F7EB" w14:textId="79AC3BBC" w:rsidR="00F63035" w:rsidRPr="00F63035" w:rsidRDefault="00F630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63035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Posição geral da Unicamp</w:t>
      </w:r>
    </w:p>
    <w:p w14:paraId="06C6109E" w14:textId="77777777" w:rsidR="00F63035" w:rsidRDefault="00F630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4963960" w14:textId="25EC98FE" w:rsidR="00F63035" w:rsidRDefault="00F63035" w:rsidP="00F630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A posição da Unicamp no </w:t>
      </w:r>
      <w:r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QS WUR 202</w:t>
      </w:r>
      <w:r w:rsidR="004F1299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FB315F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é de 23</w:t>
      </w:r>
      <w:r w:rsidR="004F1299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no ranking mundial, o que coloca a universidade entre as </w:t>
      </w:r>
      <w:r w:rsidRPr="00CD707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15,</w:t>
      </w:r>
      <w:r w:rsidR="004F1299" w:rsidRPr="00CD707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CD707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% melhores universidades do mundo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ranqueadas pelo QS WUR 202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– o que significa que a Unicamp supera 84,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% de todas as 1.50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universidades ranqueadas. Essa posição está associada a uma pontuação geral de 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2,</w:t>
      </w:r>
      <w:r w:rsidR="004F129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em uma amplitude de 0-100.</w:t>
      </w:r>
    </w:p>
    <w:p w14:paraId="726696E9" w14:textId="77777777" w:rsidR="00AE48E3" w:rsidRDefault="00AE48E3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87A8B6" w14:textId="77777777" w:rsidR="00442C6C" w:rsidRDefault="00442C6C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2483864" w14:textId="29689209" w:rsidR="00442C6C" w:rsidRPr="00442C6C" w:rsidRDefault="00442C6C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42C6C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Comparação com </w:t>
      </w:r>
      <w:r w:rsidR="003811C2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edição</w:t>
      </w:r>
      <w:r w:rsidRPr="00442C6C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anterior</w:t>
      </w:r>
    </w:p>
    <w:p w14:paraId="0265B769" w14:textId="77777777" w:rsidR="00442C6C" w:rsidRDefault="00442C6C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03ED551" w14:textId="53670242" w:rsidR="00CD707B" w:rsidRDefault="00D37B12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Em relação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às classificações anteriores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, a posição da Unicamp </w:t>
      </w:r>
      <w:r w:rsidR="0059393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aiu de 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32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no ranking de 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para 23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AE48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em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6. </w:t>
      </w:r>
      <w:r w:rsidR="00582DB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O declínio da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Unicamp de uma </w:t>
      </w:r>
      <w:r w:rsidR="00582DB9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posição n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a classificação no </w:t>
      </w:r>
      <w:r w:rsidR="00AC724C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QS WUR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6 </w:t>
      </w:r>
      <w:r w:rsidR="0059393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foi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, em grande parte, influenciado</w:t>
      </w:r>
      <w:r w:rsidR="0059393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C724C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pelo crescimento da quantidade de universidades </w:t>
      </w:r>
      <w:r w:rsidR="00357E8F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particip</w:t>
      </w:r>
      <w:r w:rsidR="00F832A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antes</w:t>
      </w:r>
      <w:r w:rsidR="00357E8F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do ranking em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6.</w:t>
      </w:r>
    </w:p>
    <w:p w14:paraId="234CB260" w14:textId="77777777" w:rsidR="00F63035" w:rsidRDefault="00F630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E9A8593" w14:textId="77777777" w:rsidR="00F63035" w:rsidRDefault="00F630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893F003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B87F4F0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18A780B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221D5CE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AA54272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6913EBE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32345D1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21D9531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74AA54F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D05040C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4F4A7F1" w14:textId="77777777" w:rsidR="003F67FB" w:rsidRDefault="003F67FB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B46D227" w14:textId="77777777" w:rsidR="00F63035" w:rsidRPr="00F63035" w:rsidRDefault="00F63035" w:rsidP="00F63035">
      <w:pPr>
        <w:shd w:val="clear" w:color="auto" w:fill="FFFFFF"/>
        <w:spacing w:after="0" w:line="234" w:lineRule="atLeast"/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63035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Destaques</w:t>
      </w:r>
    </w:p>
    <w:p w14:paraId="2D08AF0F" w14:textId="77777777" w:rsidR="00D37B12" w:rsidRDefault="00D37B12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276CE42" w14:textId="54782B9B" w:rsidR="00D37B12" w:rsidRDefault="00F52389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Para compor o ranking do QS WUR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, são levados em consideração </w:t>
      </w:r>
      <w:r w:rsidR="00F05BCA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9 indicadores</w:t>
      </w:r>
      <w:r w:rsidR="00453DD2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, cujos </w:t>
      </w:r>
      <w:r w:rsidR="00010740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pesos e a pontuação da Unicamp estão apontados </w:t>
      </w:r>
      <w:r w:rsidR="00E977E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na </w:t>
      </w:r>
      <w:r w:rsidR="000B1D21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tabela</w:t>
      </w:r>
      <w:r w:rsidR="00F832A5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abaixo</w:t>
      </w:r>
      <w:r w:rsidR="000B1D21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52B55F" w14:textId="77777777" w:rsidR="000B1D21" w:rsidRDefault="000B1D21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003"/>
        <w:gridCol w:w="1840"/>
        <w:gridCol w:w="1651"/>
      </w:tblGrid>
      <w:tr w:rsidR="00390875" w14:paraId="0588873F" w14:textId="6A501E20" w:rsidTr="00390875">
        <w:tc>
          <w:tcPr>
            <w:tcW w:w="5003" w:type="dxa"/>
          </w:tcPr>
          <w:p w14:paraId="3C32154F" w14:textId="77777777" w:rsidR="00390875" w:rsidRPr="006A56D6" w:rsidRDefault="00390875" w:rsidP="002E7F9F">
            <w:pPr>
              <w:spacing w:line="234" w:lineRule="atLeast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A56D6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Indicador</w:t>
            </w:r>
          </w:p>
        </w:tc>
        <w:tc>
          <w:tcPr>
            <w:tcW w:w="1840" w:type="dxa"/>
          </w:tcPr>
          <w:p w14:paraId="686854C2" w14:textId="1287E4EC" w:rsidR="00390875" w:rsidRPr="006A56D6" w:rsidRDefault="00390875" w:rsidP="002E7F9F">
            <w:pPr>
              <w:spacing w:line="234" w:lineRule="atLeast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A56D6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Peso (202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Pr="006A56D6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  <w:tc>
          <w:tcPr>
            <w:tcW w:w="1651" w:type="dxa"/>
          </w:tcPr>
          <w:p w14:paraId="1EA0A53E" w14:textId="246D026C" w:rsidR="00390875" w:rsidRPr="006A56D6" w:rsidRDefault="00B451CA" w:rsidP="002E7F9F">
            <w:pPr>
              <w:spacing w:line="234" w:lineRule="atLeast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</w:p>
        </w:tc>
      </w:tr>
      <w:tr w:rsidR="00390875" w14:paraId="5991933A" w14:textId="51E5B2AD" w:rsidTr="00795601">
        <w:tc>
          <w:tcPr>
            <w:tcW w:w="5003" w:type="dxa"/>
          </w:tcPr>
          <w:p w14:paraId="61B93D86" w14:textId="77777777" w:rsidR="00390875" w:rsidRDefault="00390875" w:rsidP="002E7F9F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Reputação acadêmica</w:t>
            </w:r>
          </w:p>
        </w:tc>
        <w:tc>
          <w:tcPr>
            <w:tcW w:w="1840" w:type="dxa"/>
            <w:vAlign w:val="center"/>
          </w:tcPr>
          <w:p w14:paraId="1A7A1C04" w14:textId="77777777" w:rsidR="00390875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30%</w:t>
            </w:r>
          </w:p>
        </w:tc>
        <w:tc>
          <w:tcPr>
            <w:tcW w:w="1651" w:type="dxa"/>
            <w:vAlign w:val="center"/>
          </w:tcPr>
          <w:p w14:paraId="740472C8" w14:textId="3FBC7EA1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81,7</w:t>
            </w:r>
          </w:p>
        </w:tc>
      </w:tr>
      <w:tr w:rsidR="00390875" w14:paraId="4FB6D924" w14:textId="0FBB7476" w:rsidTr="00795601">
        <w:tc>
          <w:tcPr>
            <w:tcW w:w="5003" w:type="dxa"/>
          </w:tcPr>
          <w:p w14:paraId="1B1D6DB9" w14:textId="6DAD1F1F" w:rsidR="00390875" w:rsidRDefault="00390875" w:rsidP="00641EED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Citações por Docente</w:t>
            </w:r>
          </w:p>
        </w:tc>
        <w:tc>
          <w:tcPr>
            <w:tcW w:w="1840" w:type="dxa"/>
            <w:vAlign w:val="center"/>
          </w:tcPr>
          <w:p w14:paraId="5307077B" w14:textId="258FDE33" w:rsidR="00390875" w:rsidRPr="00A52540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20%</w:t>
            </w:r>
          </w:p>
        </w:tc>
        <w:tc>
          <w:tcPr>
            <w:tcW w:w="1651" w:type="dxa"/>
            <w:vAlign w:val="center"/>
          </w:tcPr>
          <w:p w14:paraId="256F8080" w14:textId="3B2B7B34" w:rsidR="00E234BA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37,2</w:t>
            </w:r>
          </w:p>
        </w:tc>
      </w:tr>
      <w:tr w:rsidR="00390875" w14:paraId="164A7F6C" w14:textId="0B972B82" w:rsidTr="00795601">
        <w:tc>
          <w:tcPr>
            <w:tcW w:w="5003" w:type="dxa"/>
          </w:tcPr>
          <w:p w14:paraId="40CA06BD" w14:textId="77777777" w:rsidR="00390875" w:rsidRDefault="00390875" w:rsidP="00641EED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Reputação empresarial</w:t>
            </w:r>
          </w:p>
        </w:tc>
        <w:tc>
          <w:tcPr>
            <w:tcW w:w="1840" w:type="dxa"/>
            <w:vAlign w:val="center"/>
          </w:tcPr>
          <w:p w14:paraId="2171655E" w14:textId="77777777" w:rsidR="00390875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15%</w:t>
            </w:r>
          </w:p>
        </w:tc>
        <w:tc>
          <w:tcPr>
            <w:tcW w:w="1651" w:type="dxa"/>
            <w:vAlign w:val="center"/>
          </w:tcPr>
          <w:p w14:paraId="416CC5E9" w14:textId="4DEED70F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50,9</w:t>
            </w:r>
          </w:p>
        </w:tc>
      </w:tr>
      <w:tr w:rsidR="00390875" w14:paraId="3FF82F51" w14:textId="425D4B07" w:rsidTr="00795601">
        <w:tc>
          <w:tcPr>
            <w:tcW w:w="5003" w:type="dxa"/>
          </w:tcPr>
          <w:p w14:paraId="67AE3CE3" w14:textId="04A9E285" w:rsidR="00390875" w:rsidRDefault="00390875" w:rsidP="00510887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 de emprego</w:t>
            </w:r>
          </w:p>
        </w:tc>
        <w:tc>
          <w:tcPr>
            <w:tcW w:w="1840" w:type="dxa"/>
            <w:vAlign w:val="center"/>
          </w:tcPr>
          <w:p w14:paraId="2262B64B" w14:textId="0463ACA9" w:rsidR="00390875" w:rsidRPr="00A52540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5% </w:t>
            </w:r>
          </w:p>
        </w:tc>
        <w:tc>
          <w:tcPr>
            <w:tcW w:w="1651" w:type="dxa"/>
            <w:vAlign w:val="center"/>
          </w:tcPr>
          <w:p w14:paraId="10142C47" w14:textId="57CAC0C2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32,5</w:t>
            </w:r>
          </w:p>
        </w:tc>
      </w:tr>
      <w:tr w:rsidR="00390875" w14:paraId="78F6A103" w14:textId="7AF9593E" w:rsidTr="00795601">
        <w:tc>
          <w:tcPr>
            <w:tcW w:w="5003" w:type="dxa"/>
          </w:tcPr>
          <w:p w14:paraId="000E00BE" w14:textId="77777777" w:rsidR="00390875" w:rsidRDefault="00390875" w:rsidP="00510887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 Aluno-Docente</w:t>
            </w:r>
          </w:p>
        </w:tc>
        <w:tc>
          <w:tcPr>
            <w:tcW w:w="1840" w:type="dxa"/>
            <w:vAlign w:val="center"/>
          </w:tcPr>
          <w:p w14:paraId="343F3C3C" w14:textId="77777777" w:rsidR="00390875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10%</w:t>
            </w:r>
          </w:p>
        </w:tc>
        <w:tc>
          <w:tcPr>
            <w:tcW w:w="1651" w:type="dxa"/>
            <w:vAlign w:val="center"/>
          </w:tcPr>
          <w:p w14:paraId="4AE18786" w14:textId="569A26E5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22,1</w:t>
            </w:r>
          </w:p>
        </w:tc>
      </w:tr>
      <w:tr w:rsidR="00390875" w14:paraId="10009983" w14:textId="466378BD" w:rsidTr="00795601">
        <w:tc>
          <w:tcPr>
            <w:tcW w:w="5003" w:type="dxa"/>
          </w:tcPr>
          <w:p w14:paraId="1C3FD40C" w14:textId="4C1BCBC3" w:rsidR="00390875" w:rsidRDefault="00390875" w:rsidP="00510887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Internacionalização do Corpo Docente</w:t>
            </w:r>
          </w:p>
        </w:tc>
        <w:tc>
          <w:tcPr>
            <w:tcW w:w="1840" w:type="dxa"/>
            <w:vAlign w:val="center"/>
          </w:tcPr>
          <w:p w14:paraId="57B6845C" w14:textId="77777777" w:rsidR="00390875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5%</w:t>
            </w:r>
          </w:p>
        </w:tc>
        <w:tc>
          <w:tcPr>
            <w:tcW w:w="1651" w:type="dxa"/>
            <w:vAlign w:val="center"/>
          </w:tcPr>
          <w:p w14:paraId="711BCF5C" w14:textId="3E5252E5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15,1</w:t>
            </w:r>
          </w:p>
        </w:tc>
      </w:tr>
      <w:tr w:rsidR="00BB7FB2" w14:paraId="44A1CB0F" w14:textId="77777777" w:rsidTr="00795601">
        <w:tc>
          <w:tcPr>
            <w:tcW w:w="5003" w:type="dxa"/>
          </w:tcPr>
          <w:p w14:paraId="4C693352" w14:textId="77777777" w:rsidR="00BB7FB2" w:rsidRDefault="00BB7FB2" w:rsidP="00E43844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Rede Internacional de Pesquisa</w:t>
            </w:r>
          </w:p>
        </w:tc>
        <w:tc>
          <w:tcPr>
            <w:tcW w:w="1840" w:type="dxa"/>
            <w:vAlign w:val="center"/>
          </w:tcPr>
          <w:p w14:paraId="7AE29C63" w14:textId="77777777" w:rsidR="00BB7FB2" w:rsidRDefault="00BB7FB2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5%</w:t>
            </w:r>
          </w:p>
        </w:tc>
        <w:tc>
          <w:tcPr>
            <w:tcW w:w="1651" w:type="dxa"/>
            <w:vAlign w:val="center"/>
          </w:tcPr>
          <w:p w14:paraId="62968CBB" w14:textId="78CE2E42" w:rsidR="00BB7FB2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84,5</w:t>
            </w:r>
          </w:p>
        </w:tc>
      </w:tr>
      <w:tr w:rsidR="00390875" w14:paraId="4F86EDFE" w14:textId="10F85F60" w:rsidTr="00795601">
        <w:tc>
          <w:tcPr>
            <w:tcW w:w="5003" w:type="dxa"/>
          </w:tcPr>
          <w:p w14:paraId="020DF323" w14:textId="76BB1020" w:rsidR="00390875" w:rsidRDefault="00390875" w:rsidP="00510887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Internacionalização do Corpo Discente</w:t>
            </w:r>
          </w:p>
        </w:tc>
        <w:tc>
          <w:tcPr>
            <w:tcW w:w="1840" w:type="dxa"/>
            <w:vAlign w:val="center"/>
          </w:tcPr>
          <w:p w14:paraId="6C353032" w14:textId="77777777" w:rsidR="00390875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540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5%</w:t>
            </w:r>
          </w:p>
        </w:tc>
        <w:tc>
          <w:tcPr>
            <w:tcW w:w="1651" w:type="dxa"/>
            <w:vAlign w:val="center"/>
          </w:tcPr>
          <w:p w14:paraId="236FA198" w14:textId="1285B540" w:rsidR="00390875" w:rsidRPr="00A52540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4,0</w:t>
            </w:r>
          </w:p>
        </w:tc>
      </w:tr>
      <w:tr w:rsidR="00390875" w14:paraId="7E90A6FA" w14:textId="0A26D555" w:rsidTr="00795601">
        <w:tc>
          <w:tcPr>
            <w:tcW w:w="5003" w:type="dxa"/>
          </w:tcPr>
          <w:p w14:paraId="618B9C04" w14:textId="77777777" w:rsidR="00390875" w:rsidRDefault="00390875" w:rsidP="00510887">
            <w:pPr>
              <w:spacing w:line="234" w:lineRule="atLeas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Sustentabilidade</w:t>
            </w:r>
          </w:p>
        </w:tc>
        <w:tc>
          <w:tcPr>
            <w:tcW w:w="1840" w:type="dxa"/>
            <w:vAlign w:val="center"/>
          </w:tcPr>
          <w:p w14:paraId="43ED382B" w14:textId="77777777" w:rsidR="00390875" w:rsidRPr="00A52540" w:rsidRDefault="00390875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5%</w:t>
            </w:r>
          </w:p>
        </w:tc>
        <w:tc>
          <w:tcPr>
            <w:tcW w:w="1651" w:type="dxa"/>
            <w:vAlign w:val="center"/>
          </w:tcPr>
          <w:p w14:paraId="0ED2E3CA" w14:textId="2A6C3E67" w:rsidR="00390875" w:rsidRDefault="00CD707B" w:rsidP="00795601">
            <w:pPr>
              <w:spacing w:line="234" w:lineRule="atLeast"/>
              <w:ind w:right="498"/>
              <w:jc w:val="right"/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79,5</w:t>
            </w:r>
          </w:p>
        </w:tc>
      </w:tr>
    </w:tbl>
    <w:p w14:paraId="5D65963B" w14:textId="77777777" w:rsidR="002471E1" w:rsidRDefault="002471E1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A578FBC" w14:textId="77777777" w:rsidR="002471E1" w:rsidRPr="00BB36BA" w:rsidRDefault="002471E1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9EFBB5F" w14:textId="37167564" w:rsidR="009E2C1E" w:rsidRDefault="00B46FEB" w:rsidP="009E2C1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É possível avaliar a posi</w:t>
      </w:r>
      <w:r w:rsidR="00E95C8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ção da Unicamp nos </w:t>
      </w:r>
      <w:r w:rsidR="009E2C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indicadores </w:t>
      </w:r>
      <w:r w:rsidR="00E95C83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que compõem o ranking QS WUR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57501C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. Nesse contexto, os indicadores que a</w:t>
      </w:r>
      <w:r w:rsidR="009E2C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Unicamp apresentou 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excelente desempenho </w:t>
      </w:r>
      <w:r w:rsidR="0057501C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foram</w:t>
      </w:r>
      <w:r w:rsidR="009E2C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BD3449" w14:textId="64AAA4D7" w:rsidR="00CD707B" w:rsidRDefault="00CD707B" w:rsidP="00CD707B">
      <w:pPr>
        <w:pStyle w:val="PargrafodaLista"/>
        <w:numPr>
          <w:ilvl w:val="0"/>
          <w:numId w:val="8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7501C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Reputação acadêmica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, com pontuação de 81,7; o que a coloca na posição de 91 entre as universidades de melhor reputação em todo o mundo.</w:t>
      </w:r>
    </w:p>
    <w:p w14:paraId="13770D1B" w14:textId="61E46942" w:rsidR="00CD707B" w:rsidRDefault="00CD707B" w:rsidP="00CD707B">
      <w:pPr>
        <w:pStyle w:val="PargrafodaLista"/>
        <w:numPr>
          <w:ilvl w:val="0"/>
          <w:numId w:val="8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Sustentabilidade</w:t>
      </w:r>
      <w:r w:rsidRP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, pontuação d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e 79,5; posição de 180 nesse indicador, com elevado crescimento em relação ao ano anterior.</w:t>
      </w:r>
    </w:p>
    <w:p w14:paraId="62FC194E" w14:textId="0E051C75" w:rsidR="00CD707B" w:rsidRDefault="00CD707B" w:rsidP="00CD707B">
      <w:pPr>
        <w:pStyle w:val="PargrafodaLista"/>
        <w:numPr>
          <w:ilvl w:val="0"/>
          <w:numId w:val="8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7501C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Reputação 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empresarial</w:t>
      </w:r>
      <w:r w:rsidRP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, pontuação d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e 50,9; e posição de 247.</w:t>
      </w:r>
    </w:p>
    <w:p w14:paraId="3881843F" w14:textId="77777777" w:rsidR="00CD707B" w:rsidRDefault="00CD707B" w:rsidP="00CD707B">
      <w:pPr>
        <w:pStyle w:val="PargrafodaLista"/>
        <w:numPr>
          <w:ilvl w:val="0"/>
          <w:numId w:val="8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7501C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Rede Internacional de Pesquisa</w:t>
      </w:r>
      <w:r w:rsidR="009E2C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, pontuação de 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84,5</w:t>
      </w:r>
      <w:r w:rsidR="00C253C7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;</w:t>
      </w:r>
      <w:r w:rsidR="009E2C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e posição de 265.</w:t>
      </w:r>
    </w:p>
    <w:p w14:paraId="12BCAACA" w14:textId="421847A6" w:rsidR="00CD707B" w:rsidRPr="00CD707B" w:rsidRDefault="00CD707B" w:rsidP="00CD707B">
      <w:pPr>
        <w:pStyle w:val="PargrafodaLista"/>
        <w:numPr>
          <w:ilvl w:val="0"/>
          <w:numId w:val="8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Importante mencionar também que o indicador de </w:t>
      </w:r>
      <w:r w:rsidRPr="00CD707B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Citações por Docente</w:t>
      </w:r>
      <w:r w:rsidRP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, apresentou um aumento importante em 2026, subindo de uma pontuação de 24,9 para 37,2.</w:t>
      </w:r>
    </w:p>
    <w:p w14:paraId="5C929E83" w14:textId="77777777" w:rsidR="00CD707B" w:rsidRPr="00CD707B" w:rsidRDefault="00CD707B" w:rsidP="00CD707B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F17B980" w14:textId="77777777" w:rsidR="00947C06" w:rsidRPr="00947C06" w:rsidRDefault="00947C06" w:rsidP="00947C06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570CBB5" w14:textId="77777777" w:rsidR="009E2C1E" w:rsidRDefault="009E2C1E" w:rsidP="009E2C1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6065AFC" w14:textId="77777777" w:rsidR="005C1458" w:rsidRPr="00BC7F32" w:rsidRDefault="005C1458" w:rsidP="005C1458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CDD60EC" w14:textId="77777777" w:rsidR="005C1458" w:rsidRDefault="005C1458" w:rsidP="005C1458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D549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Observações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94E819A" w14:textId="26619D27" w:rsidR="000A0476" w:rsidRDefault="00784EE4" w:rsidP="005C1458">
      <w:pPr>
        <w:pStyle w:val="PargrafodaLista"/>
        <w:numPr>
          <w:ilvl w:val="0"/>
          <w:numId w:val="3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Informações sobre a metodologia do QS </w:t>
      </w:r>
      <w:r w:rsidR="00CA49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WRU 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estão disponíveis </w:t>
      </w:r>
      <w:r w:rsidR="00CA491E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no Boletim </w:t>
      </w:r>
      <w:r w:rsidR="008D06F2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/2024</w:t>
      </w:r>
      <w:r w:rsidR="000A0476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da Equipe de Rankings Universitários da PRDU.</w:t>
      </w:r>
    </w:p>
    <w:p w14:paraId="49E570A3" w14:textId="0BF10300" w:rsidR="000A0476" w:rsidRDefault="003F707F" w:rsidP="005C1458">
      <w:pPr>
        <w:pStyle w:val="PargrafodaLista"/>
        <w:numPr>
          <w:ilvl w:val="0"/>
          <w:numId w:val="3"/>
        </w:num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Informações mais detalhadas</w:t>
      </w:r>
      <w:r w:rsidR="004F5962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sobre QS WRU 202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6</w:t>
      </w:r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estão disponíveis no </w:t>
      </w:r>
      <w:proofErr w:type="spellStart"/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Fact</w:t>
      </w:r>
      <w:proofErr w:type="spellEnd"/>
      <w:r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 xml:space="preserve"> File, que acompanha este Boletim</w:t>
      </w:r>
      <w:r w:rsidR="004F5962"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6DD052B" w14:textId="77777777" w:rsidR="000D0135" w:rsidRDefault="000D0135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3813B78" w14:textId="77777777" w:rsidR="004A6731" w:rsidRDefault="004A6731" w:rsidP="000D0135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CF02A91" w14:textId="21506FCE" w:rsidR="0069133E" w:rsidRDefault="0069133E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BCC88DA" w14:textId="77777777" w:rsidR="007B3B17" w:rsidRDefault="007B3B17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AA6272" w14:textId="77777777" w:rsidR="007B3B17" w:rsidRDefault="007B3B17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DD13F7A" w14:textId="77777777" w:rsidR="007B3B17" w:rsidRDefault="007B3B17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F380E38" w14:textId="77777777" w:rsidR="007B3B17" w:rsidRDefault="007B3B17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058B5C6" w14:textId="77777777" w:rsidR="00784EE4" w:rsidRDefault="00784EE4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870BBED" w14:textId="77777777" w:rsidR="00784EE4" w:rsidRDefault="00784EE4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312E152" w14:textId="77777777" w:rsidR="007B3B17" w:rsidRDefault="007B3B17" w:rsidP="004A6731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D6206B8" w14:textId="77777777" w:rsidR="004B1243" w:rsidRDefault="004B1243" w:rsidP="004B1243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eastAsia="pt-BR"/>
          <w14:ligatures w14:val="none"/>
        </w:rPr>
      </w:pPr>
    </w:p>
    <w:p w14:paraId="79C3CEA2" w14:textId="3E39CC7A" w:rsidR="007B3B17" w:rsidRPr="00784EE4" w:rsidRDefault="004B1243" w:rsidP="004B1243">
      <w:pPr>
        <w:shd w:val="clear" w:color="auto" w:fill="FFFFFF"/>
        <w:spacing w:after="0" w:line="234" w:lineRule="atLeast"/>
        <w:rPr>
          <w:rFonts w:ascii="DejaVuSans-Bold" w:hAnsi="DejaVuSans-Bold" w:cs="DejaVuSans-Bold"/>
          <w:b/>
          <w:bCs/>
          <w:kern w:val="0"/>
          <w:sz w:val="34"/>
          <w:szCs w:val="34"/>
          <w:lang w:val="en-GB"/>
        </w:rPr>
      </w:pPr>
      <w:r w:rsidRPr="00784EE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Quadro – </w:t>
      </w:r>
      <w:r w:rsidR="00501E34" w:rsidRP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QS World University Ranking</w:t>
      </w:r>
      <w:r w:rsidR="00501E3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 2</w:t>
      </w:r>
      <w:r w:rsidR="007B3B17" w:rsidRPr="00784EE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02</w:t>
      </w:r>
      <w:r w:rsidR="00CD707B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6</w:t>
      </w:r>
      <w:r w:rsidR="007B3B17" w:rsidRPr="00784EE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 xml:space="preserve"> - </w:t>
      </w:r>
      <w:proofErr w:type="spellStart"/>
      <w:r w:rsidR="007B3B17" w:rsidRPr="00784EE4">
        <w:rPr>
          <w:rFonts w:ascii="Georgia" w:eastAsia="Times New Roman" w:hAnsi="Georgia" w:cs="Arial"/>
          <w:color w:val="000000"/>
          <w:kern w:val="0"/>
          <w:sz w:val="24"/>
          <w:szCs w:val="24"/>
          <w:u w:val="single"/>
          <w:lang w:val="en-GB" w:eastAsia="pt-BR"/>
          <w14:ligatures w14:val="none"/>
        </w:rPr>
        <w:t>Unicamp</w:t>
      </w:r>
      <w:proofErr w:type="spellEnd"/>
      <w:r w:rsidR="007B3B17" w:rsidRPr="00784EE4">
        <w:rPr>
          <w:rFonts w:ascii="DejaVuSans-Bold" w:hAnsi="DejaVuSans-Bold" w:cs="DejaVuSans-Bold"/>
          <w:b/>
          <w:bCs/>
          <w:kern w:val="0"/>
          <w:sz w:val="34"/>
          <w:szCs w:val="34"/>
          <w:lang w:val="en-GB"/>
        </w:rPr>
        <w:t xml:space="preserve"> </w:t>
      </w:r>
    </w:p>
    <w:p w14:paraId="4539245A" w14:textId="223D3CCE" w:rsidR="007B3B17" w:rsidRDefault="004B1243" w:rsidP="005370C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  <w:r w:rsidRPr="004B1243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 xml:space="preserve">Fonte: </w:t>
      </w:r>
      <w:r w:rsidR="007B3B17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 xml:space="preserve">QS </w:t>
      </w:r>
      <w:r w:rsidR="00501E34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 xml:space="preserve">WRU </w:t>
      </w:r>
      <w:r w:rsidR="007B3B17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t>ranking</w:t>
      </w:r>
    </w:p>
    <w:p w14:paraId="6CB8A4B6" w14:textId="77777777" w:rsidR="00FC29F5" w:rsidRDefault="00FC29F5" w:rsidP="005370C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</w:p>
    <w:p w14:paraId="7AA1AAC3" w14:textId="593FAD7E" w:rsidR="00FC29F5" w:rsidRDefault="00FC29F5" w:rsidP="00FC29F5">
      <w:pPr>
        <w:shd w:val="clear" w:color="auto" w:fill="FFFFFF"/>
        <w:spacing w:after="0" w:line="234" w:lineRule="atLeast"/>
        <w:ind w:left="-284" w:right="-285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  <w:r w:rsidRPr="00FC29F5"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  <w:drawing>
          <wp:inline distT="0" distB="0" distL="0" distR="0" wp14:anchorId="7AEFAE29" wp14:editId="634820FB">
            <wp:extent cx="5762445" cy="2019295"/>
            <wp:effectExtent l="0" t="0" r="0" b="635"/>
            <wp:docPr id="1080671949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71949" name="Imagem 1" descr="Tabela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513" cy="202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4259" w14:textId="77777777" w:rsidR="00FC29F5" w:rsidRDefault="00FC29F5" w:rsidP="005370C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</w:p>
    <w:p w14:paraId="318668D8" w14:textId="77777777" w:rsidR="005370CE" w:rsidRPr="004B1243" w:rsidRDefault="005370CE" w:rsidP="005370C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</w:p>
    <w:p w14:paraId="3045302E" w14:textId="61263764" w:rsidR="005370CE" w:rsidRPr="007B3B17" w:rsidRDefault="005370CE" w:rsidP="005370CE">
      <w:pPr>
        <w:shd w:val="clear" w:color="auto" w:fill="FFFFFF"/>
        <w:spacing w:after="0" w:line="234" w:lineRule="atLeast"/>
        <w:rPr>
          <w:rFonts w:ascii="Georgia" w:eastAsia="Times New Roman" w:hAnsi="Georgia" w:cs="Arial"/>
          <w:color w:val="000000"/>
          <w:kern w:val="0"/>
          <w:sz w:val="24"/>
          <w:szCs w:val="24"/>
          <w:lang w:val="en-GB" w:eastAsia="pt-BR"/>
          <w14:ligatures w14:val="none"/>
        </w:rPr>
      </w:pPr>
    </w:p>
    <w:sectPr w:rsidR="005370CE" w:rsidRPr="007B3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BE47" w14:textId="77777777" w:rsidR="00B81186" w:rsidRDefault="00B81186" w:rsidP="0094418B">
      <w:pPr>
        <w:spacing w:after="0" w:line="240" w:lineRule="auto"/>
      </w:pPr>
      <w:r>
        <w:separator/>
      </w:r>
    </w:p>
  </w:endnote>
  <w:endnote w:type="continuationSeparator" w:id="0">
    <w:p w14:paraId="5F31F41B" w14:textId="77777777" w:rsidR="00B81186" w:rsidRDefault="00B81186" w:rsidP="0094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D328" w14:textId="77777777" w:rsidR="0094418B" w:rsidRDefault="009441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9CF3" w14:textId="77777777" w:rsidR="0094418B" w:rsidRDefault="009441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8F1F" w14:textId="77777777" w:rsidR="0094418B" w:rsidRDefault="009441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E6EF" w14:textId="77777777" w:rsidR="00B81186" w:rsidRDefault="00B81186" w:rsidP="0094418B">
      <w:pPr>
        <w:spacing w:after="0" w:line="240" w:lineRule="auto"/>
      </w:pPr>
      <w:r>
        <w:separator/>
      </w:r>
    </w:p>
  </w:footnote>
  <w:footnote w:type="continuationSeparator" w:id="0">
    <w:p w14:paraId="5315A29A" w14:textId="77777777" w:rsidR="00B81186" w:rsidRDefault="00B81186" w:rsidP="0094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F597" w14:textId="77777777" w:rsidR="0094418B" w:rsidRDefault="009441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BF04" w14:textId="77777777" w:rsidR="0094418B" w:rsidRDefault="0094418B" w:rsidP="0094418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F93EC05" wp14:editId="18D2677E">
          <wp:simplePos x="0" y="0"/>
          <wp:positionH relativeFrom="page">
            <wp:posOffset>5608329</wp:posOffset>
          </wp:positionH>
          <wp:positionV relativeFrom="page">
            <wp:posOffset>340848</wp:posOffset>
          </wp:positionV>
          <wp:extent cx="784824" cy="510354"/>
          <wp:effectExtent l="0" t="0" r="0" b="0"/>
          <wp:wrapNone/>
          <wp:docPr id="803932222" name="Imagem 803932222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9291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24" cy="510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AD900FF" wp14:editId="520827A1">
              <wp:simplePos x="0" y="0"/>
              <wp:positionH relativeFrom="page">
                <wp:posOffset>1062355</wp:posOffset>
              </wp:positionH>
              <wp:positionV relativeFrom="page">
                <wp:posOffset>1089660</wp:posOffset>
              </wp:positionV>
              <wp:extent cx="6350" cy="12700"/>
              <wp:effectExtent l="0" t="0" r="0" b="0"/>
              <wp:wrapNone/>
              <wp:docPr id="2104692909" name="Retângulo 2104692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7565" y="3776825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476660" w14:textId="77777777" w:rsidR="0094418B" w:rsidRDefault="0094418B" w:rsidP="0094418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900FF" id="Retângulo 2104692909" o:spid="_x0000_s1026" style="position:absolute;margin-left:83.65pt;margin-top:85.8pt;width:.5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" fillcolor="black" stroked="f">
              <v:textbox inset="2.53958mm,2.53958mm,2.53958mm,2.53958mm">
                <w:txbxContent>
                  <w:p w14:paraId="50476660" w14:textId="77777777" w:rsidR="0094418B" w:rsidRDefault="0094418B" w:rsidP="0094418B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DE52208" wp14:editId="7A575EE0">
              <wp:simplePos x="0" y="0"/>
              <wp:positionH relativeFrom="page">
                <wp:posOffset>2573973</wp:posOffset>
              </wp:positionH>
              <wp:positionV relativeFrom="page">
                <wp:posOffset>459423</wp:posOffset>
              </wp:positionV>
              <wp:extent cx="2413635" cy="175260"/>
              <wp:effectExtent l="0" t="0" r="0" b="0"/>
              <wp:wrapNone/>
              <wp:docPr id="2104692906" name="Retângulo 21046929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3945" y="3697133"/>
                        <a:ext cx="2404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1B453" w14:textId="77777777" w:rsidR="0094418B" w:rsidRDefault="0094418B" w:rsidP="0094418B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UNIVERSIDADE ESTADUAL DE CAMPINAS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52208" id="Retângulo 2104692906" o:spid="_x0000_s1027" style="position:absolute;margin-left:202.7pt;margin-top:36.2pt;width:190.05pt;height:13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" filled="f" stroked="f">
              <v:textbox inset="0,0,0,0">
                <w:txbxContent>
                  <w:p w14:paraId="5591B453" w14:textId="77777777" w:rsidR="0094418B" w:rsidRDefault="0094418B" w:rsidP="0094418B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UNIVERSIDADE ESTADUAL DE CAMPINAS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4DFACA4" wp14:editId="13EECD66">
              <wp:simplePos x="0" y="0"/>
              <wp:positionH relativeFrom="page">
                <wp:posOffset>2168208</wp:posOffset>
              </wp:positionH>
              <wp:positionV relativeFrom="page">
                <wp:posOffset>744538</wp:posOffset>
              </wp:positionV>
              <wp:extent cx="3225165" cy="175260"/>
              <wp:effectExtent l="0" t="0" r="0" b="0"/>
              <wp:wrapNone/>
              <wp:docPr id="2104692907" name="Retângulo 2104692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8180" y="3697133"/>
                        <a:ext cx="3215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CC98B" w14:textId="77777777" w:rsidR="0094418B" w:rsidRDefault="0094418B" w:rsidP="0094418B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PRÓ-REITORIA DE DESENVOLVIMENTO UNIVERSITÁRIO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FACA4" id="Retângulo 2104692907" o:spid="_x0000_s1028" style="position:absolute;margin-left:170.75pt;margin-top:58.65pt;width:253.95pt;height:13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" filled="f" stroked="f">
              <v:textbox inset="0,0,0,0">
                <w:txbxContent>
                  <w:p w14:paraId="45CCC98B" w14:textId="77777777" w:rsidR="0094418B" w:rsidRDefault="0094418B" w:rsidP="0094418B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PRÓ-REITORIA DE DESENVOLVIMENTO UNIVERSITÁRIO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B4A6FE9" wp14:editId="01B41DC8">
          <wp:simplePos x="0" y="0"/>
          <wp:positionH relativeFrom="column">
            <wp:posOffset>269875</wp:posOffset>
          </wp:positionH>
          <wp:positionV relativeFrom="paragraph">
            <wp:posOffset>-126999</wp:posOffset>
          </wp:positionV>
          <wp:extent cx="638175" cy="666750"/>
          <wp:effectExtent l="0" t="0" r="0" b="0"/>
          <wp:wrapSquare wrapText="bothSides" distT="0" distB="0" distL="114300" distR="114300"/>
          <wp:docPr id="711490220" name="Imagem 711490220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92911" name="image1.png" descr="Uma imagem contendo 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4D243B" w14:textId="77777777" w:rsidR="0094418B" w:rsidRDefault="009441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6E28" w14:textId="77777777" w:rsidR="0094418B" w:rsidRDefault="009441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A75"/>
    <w:multiLevelType w:val="hybridMultilevel"/>
    <w:tmpl w:val="6860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AD5"/>
    <w:multiLevelType w:val="hybridMultilevel"/>
    <w:tmpl w:val="97B0E5D0"/>
    <w:lvl w:ilvl="0" w:tplc="FB32482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67F"/>
    <w:multiLevelType w:val="hybridMultilevel"/>
    <w:tmpl w:val="0FD8323C"/>
    <w:lvl w:ilvl="0" w:tplc="FB32482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6A9D"/>
    <w:multiLevelType w:val="hybridMultilevel"/>
    <w:tmpl w:val="9552E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383"/>
    <w:multiLevelType w:val="hybridMultilevel"/>
    <w:tmpl w:val="7BFAB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3B27"/>
    <w:multiLevelType w:val="hybridMultilevel"/>
    <w:tmpl w:val="FC24B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72EE"/>
    <w:multiLevelType w:val="hybridMultilevel"/>
    <w:tmpl w:val="E9B67D46"/>
    <w:lvl w:ilvl="0" w:tplc="070A657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07F94"/>
    <w:multiLevelType w:val="hybridMultilevel"/>
    <w:tmpl w:val="11AE9758"/>
    <w:lvl w:ilvl="0" w:tplc="FB32482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56138">
    <w:abstractNumId w:val="1"/>
  </w:num>
  <w:num w:numId="2" w16cid:durableId="1760516738">
    <w:abstractNumId w:val="6"/>
  </w:num>
  <w:num w:numId="3" w16cid:durableId="26218666">
    <w:abstractNumId w:val="2"/>
  </w:num>
  <w:num w:numId="4" w16cid:durableId="1151100481">
    <w:abstractNumId w:val="7"/>
  </w:num>
  <w:num w:numId="5" w16cid:durableId="1663504494">
    <w:abstractNumId w:val="0"/>
  </w:num>
  <w:num w:numId="6" w16cid:durableId="433745855">
    <w:abstractNumId w:val="5"/>
  </w:num>
  <w:num w:numId="7" w16cid:durableId="1708338386">
    <w:abstractNumId w:val="4"/>
  </w:num>
  <w:num w:numId="8" w16cid:durableId="58661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A4"/>
    <w:rsid w:val="00010740"/>
    <w:rsid w:val="00066254"/>
    <w:rsid w:val="000A0476"/>
    <w:rsid w:val="000B1D21"/>
    <w:rsid w:val="000D0135"/>
    <w:rsid w:val="000E152D"/>
    <w:rsid w:val="001175EE"/>
    <w:rsid w:val="001E2450"/>
    <w:rsid w:val="002471E1"/>
    <w:rsid w:val="00271EA4"/>
    <w:rsid w:val="002D15EF"/>
    <w:rsid w:val="002F0078"/>
    <w:rsid w:val="003162E7"/>
    <w:rsid w:val="00326BF5"/>
    <w:rsid w:val="0033319F"/>
    <w:rsid w:val="003469C7"/>
    <w:rsid w:val="00357E8F"/>
    <w:rsid w:val="00370BA9"/>
    <w:rsid w:val="003811C2"/>
    <w:rsid w:val="00390875"/>
    <w:rsid w:val="003D217E"/>
    <w:rsid w:val="003D5494"/>
    <w:rsid w:val="003E3912"/>
    <w:rsid w:val="003F67FB"/>
    <w:rsid w:val="003F707F"/>
    <w:rsid w:val="004133D5"/>
    <w:rsid w:val="00442C6C"/>
    <w:rsid w:val="00453DD2"/>
    <w:rsid w:val="0047620A"/>
    <w:rsid w:val="004A6731"/>
    <w:rsid w:val="004B1243"/>
    <w:rsid w:val="004C619B"/>
    <w:rsid w:val="004D770B"/>
    <w:rsid w:val="004F1299"/>
    <w:rsid w:val="004F5962"/>
    <w:rsid w:val="00501E34"/>
    <w:rsid w:val="00506200"/>
    <w:rsid w:val="00510887"/>
    <w:rsid w:val="00515B78"/>
    <w:rsid w:val="005356B6"/>
    <w:rsid w:val="005370CE"/>
    <w:rsid w:val="0057501C"/>
    <w:rsid w:val="00582DB9"/>
    <w:rsid w:val="0059393E"/>
    <w:rsid w:val="005C1458"/>
    <w:rsid w:val="005E37F8"/>
    <w:rsid w:val="005F474D"/>
    <w:rsid w:val="00607C8F"/>
    <w:rsid w:val="00621E79"/>
    <w:rsid w:val="00641EED"/>
    <w:rsid w:val="00661BA4"/>
    <w:rsid w:val="0069133E"/>
    <w:rsid w:val="00735A8F"/>
    <w:rsid w:val="00765EE0"/>
    <w:rsid w:val="00783A6A"/>
    <w:rsid w:val="00784EE4"/>
    <w:rsid w:val="00795601"/>
    <w:rsid w:val="007B3B17"/>
    <w:rsid w:val="007B5FD1"/>
    <w:rsid w:val="007C1D6F"/>
    <w:rsid w:val="008139CC"/>
    <w:rsid w:val="00853AE6"/>
    <w:rsid w:val="00892533"/>
    <w:rsid w:val="008D06F2"/>
    <w:rsid w:val="008E6698"/>
    <w:rsid w:val="009170FD"/>
    <w:rsid w:val="0094418B"/>
    <w:rsid w:val="009470E6"/>
    <w:rsid w:val="00947C06"/>
    <w:rsid w:val="009568E6"/>
    <w:rsid w:val="009754DC"/>
    <w:rsid w:val="00976960"/>
    <w:rsid w:val="009930EB"/>
    <w:rsid w:val="009B70CA"/>
    <w:rsid w:val="009C5C19"/>
    <w:rsid w:val="009E262B"/>
    <w:rsid w:val="009E2C1E"/>
    <w:rsid w:val="009E6710"/>
    <w:rsid w:val="009F3423"/>
    <w:rsid w:val="009F7D37"/>
    <w:rsid w:val="00A352C4"/>
    <w:rsid w:val="00A95234"/>
    <w:rsid w:val="00AB55FA"/>
    <w:rsid w:val="00AC724C"/>
    <w:rsid w:val="00AE48E3"/>
    <w:rsid w:val="00B045C7"/>
    <w:rsid w:val="00B451CA"/>
    <w:rsid w:val="00B46FEB"/>
    <w:rsid w:val="00B55721"/>
    <w:rsid w:val="00B81186"/>
    <w:rsid w:val="00BB36BA"/>
    <w:rsid w:val="00BB7FB2"/>
    <w:rsid w:val="00BC7F32"/>
    <w:rsid w:val="00BD0DF1"/>
    <w:rsid w:val="00BE11A6"/>
    <w:rsid w:val="00BE38D8"/>
    <w:rsid w:val="00BE5D9A"/>
    <w:rsid w:val="00BF4D73"/>
    <w:rsid w:val="00C03F4E"/>
    <w:rsid w:val="00C05BF6"/>
    <w:rsid w:val="00C253C7"/>
    <w:rsid w:val="00C43652"/>
    <w:rsid w:val="00C77D5B"/>
    <w:rsid w:val="00CA491E"/>
    <w:rsid w:val="00CD3BD2"/>
    <w:rsid w:val="00CD707B"/>
    <w:rsid w:val="00D35D09"/>
    <w:rsid w:val="00D37B12"/>
    <w:rsid w:val="00D44270"/>
    <w:rsid w:val="00DA02A4"/>
    <w:rsid w:val="00DA0C7A"/>
    <w:rsid w:val="00E1616C"/>
    <w:rsid w:val="00E234BA"/>
    <w:rsid w:val="00E46F3A"/>
    <w:rsid w:val="00E703CC"/>
    <w:rsid w:val="00E7679C"/>
    <w:rsid w:val="00E92BBD"/>
    <w:rsid w:val="00E95C83"/>
    <w:rsid w:val="00E977E3"/>
    <w:rsid w:val="00EB3B64"/>
    <w:rsid w:val="00EC1753"/>
    <w:rsid w:val="00ED347B"/>
    <w:rsid w:val="00EF5B44"/>
    <w:rsid w:val="00F05BCA"/>
    <w:rsid w:val="00F52389"/>
    <w:rsid w:val="00F63035"/>
    <w:rsid w:val="00F67D7F"/>
    <w:rsid w:val="00F832A5"/>
    <w:rsid w:val="00F86AAF"/>
    <w:rsid w:val="00F95E31"/>
    <w:rsid w:val="00FB315F"/>
    <w:rsid w:val="00FC29F5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F1C9"/>
  <w15:chartTrackingRefBased/>
  <w15:docId w15:val="{AC21E18A-0E11-4290-98C2-4B0629C4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1E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18B"/>
  </w:style>
  <w:style w:type="paragraph" w:styleId="Rodap">
    <w:name w:val="footer"/>
    <w:basedOn w:val="Normal"/>
    <w:link w:val="RodapChar"/>
    <w:uiPriority w:val="99"/>
    <w:unhideWhenUsed/>
    <w:rsid w:val="00944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Garcia</dc:creator>
  <cp:keywords/>
  <dc:description/>
  <cp:lastModifiedBy>Renato Garcia</cp:lastModifiedBy>
  <cp:revision>91</cp:revision>
  <dcterms:created xsi:type="dcterms:W3CDTF">2023-11-09T11:03:00Z</dcterms:created>
  <dcterms:modified xsi:type="dcterms:W3CDTF">2025-06-17T14:36:00Z</dcterms:modified>
</cp:coreProperties>
</file>